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A6C8" w14:textId="206BE3AE" w:rsidR="00D3454C" w:rsidRDefault="006A03AD">
      <w:pPr>
        <w:rPr>
          <w:rFonts w:ascii="Arial" w:hAnsi="Arial" w:cs="Arial"/>
          <w:sz w:val="28"/>
          <w:szCs w:val="28"/>
        </w:rPr>
      </w:pPr>
      <w:r>
        <w:t xml:space="preserve">Downloads </w:t>
      </w:r>
      <w:r w:rsidR="00117CCE">
        <w:t xml:space="preserve">in Funded Early Learning - </w:t>
      </w:r>
      <w:r>
        <w:t xml:space="preserve">Doc link: </w:t>
      </w:r>
      <w:hyperlink r:id="rId7" w:history="1">
        <w:r w:rsidR="00D3454C">
          <w:rPr>
            <w:rStyle w:val="Hyperlink"/>
          </w:rPr>
          <w:t>Funded Early Learning | Sheffield Directory</w:t>
        </w:r>
      </w:hyperlink>
    </w:p>
    <w:p w14:paraId="42A1F7AB" w14:textId="6352B41D" w:rsidR="00342020" w:rsidRPr="00342020" w:rsidRDefault="00342020">
      <w:pPr>
        <w:rPr>
          <w:rFonts w:ascii="Arial" w:hAnsi="Arial" w:cs="Arial"/>
          <w:sz w:val="28"/>
          <w:szCs w:val="28"/>
        </w:rPr>
      </w:pPr>
      <w:r w:rsidRPr="00342020">
        <w:rPr>
          <w:rFonts w:ascii="Arial" w:hAnsi="Arial" w:cs="Arial"/>
          <w:sz w:val="28"/>
          <w:szCs w:val="28"/>
        </w:rPr>
        <w:t xml:space="preserve">To view </w:t>
      </w:r>
      <w:proofErr w:type="gramStart"/>
      <w:r w:rsidRPr="00342020">
        <w:rPr>
          <w:rFonts w:ascii="Arial" w:hAnsi="Arial" w:cs="Arial"/>
          <w:sz w:val="28"/>
          <w:szCs w:val="28"/>
        </w:rPr>
        <w:t>your</w:t>
      </w:r>
      <w:r>
        <w:rPr>
          <w:rFonts w:ascii="Arial" w:hAnsi="Arial" w:cs="Arial"/>
          <w:sz w:val="28"/>
          <w:szCs w:val="28"/>
        </w:rPr>
        <w:t xml:space="preserve"> </w:t>
      </w:r>
      <w:r w:rsidRPr="003420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proofErr w:type="gramEnd"/>
      <w:r>
        <w:rPr>
          <w:rFonts w:ascii="Arial" w:hAnsi="Arial" w:cs="Arial"/>
          <w:sz w:val="28"/>
          <w:szCs w:val="28"/>
        </w:rPr>
        <w:t>30 Hours” code or to reconfirm eligibility, you will need to access your Childcare Service Account.</w:t>
      </w:r>
    </w:p>
    <w:p w14:paraId="5AA727FF" w14:textId="77777777" w:rsidR="00616968" w:rsidRPr="00616968" w:rsidRDefault="00616968" w:rsidP="00616968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14:paraId="59B64969" w14:textId="77777777" w:rsidR="00616968" w:rsidRPr="00616968" w:rsidRDefault="00616968" w:rsidP="0061696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A065F" wp14:editId="56133C42">
                <wp:simplePos x="0" y="0"/>
                <wp:positionH relativeFrom="column">
                  <wp:posOffset>419100</wp:posOffset>
                </wp:positionH>
                <wp:positionV relativeFrom="paragraph">
                  <wp:posOffset>4898390</wp:posOffset>
                </wp:positionV>
                <wp:extent cx="2406650" cy="775970"/>
                <wp:effectExtent l="0" t="0" r="12700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775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C9309" id="Oval 1" o:spid="_x0000_s1026" style="position:absolute;margin-left:33pt;margin-top:385.7pt;width:189.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67bAIAADsFAAAOAAAAZHJzL2Uyb0RvYy54bWysVEtvGjEQvlfqf7B8b3ZBJDQoS4SIUlWK&#10;kqhJlbPx2mDV63HHhoX++o7NstCGU9U9eOf98je+ud02lm0UBgOu4oOLkjPlJNTGLSv+/fX+02fO&#10;QhSuFhacqvhOBX47/fjhpvUTNYQV2FohoyAuTFpf8VWMflIUQa5UI8IFeOVIqQEbEYnFZVGjaCl6&#10;Y4thWV4VLWDtEaQKgaR3eyWf5vhaKxmftA4qMltxqi3mE/O5SGcxvRGTJQq/MrIrQ/xDFY0wjpL2&#10;oe5EFGyN5l2oxkiEADpeSGgK0NpIlXugbgblX928rIRXuRcaTvD9mML/CysfNy/+GWkMrQ+TQGTq&#10;YquxSX+qj23zsHb9sNQ2MknC4ai8urqkmUrSjceX1+M8zeLo7THELwoaloiKK2uND6kfMRGbhxAp&#10;KVkfrJLYwb2xNt+JdUkQwJo6yTKDy8XcItsIusx5mb50fxTjxIy45Foc28lU3FmVYlj3TWlm6tRA&#10;riQjTfVhhZTKxWEXN1snN00l9I6Dc442Djqnzja5qYzA3rE85/hnxt4jZwUXe+fGOMBzAeoffea9&#10;/aH7fc+p/QXUu2dkCHv8By/vDd3JgwjxWSABnq6Rljg+0aEttBWHjuJsBfjrnDzZEw5Jy1lLC1Tx&#10;8HMtUHFmvzpC6PVgNEobl5nR5XhIDJ5qFqcat27mQNc6oOfCy0wm+2gPpEZo3mjXZykrqYSTlLvi&#10;MuKBmcf9YtNrIdVsls1oy7yID+7FyxQ8TTUB7nX7JtB3wIwE6Uc4LNs7cO5tk6eD2TqCNhm5x7l2&#10;86YNzWDsXpP0BJzy2er45k1/AwAA//8DAFBLAwQUAAYACAAAACEANTLa3eIAAAAKAQAADwAAAGRy&#10;cy9kb3ducmV2LnhtbEyPzU7DMBCE70i8g7VI3KhTCGkJcSrEj4RaCdG0II5uvCQR8Tqyt214e8wJ&#10;jrMzmv2mWIy2Fwf0oXOkYDpJQCDVznTUKNhuni7mIAJrMrp3hAq+McCiPD0pdG7ckdZ4qLgRsYRC&#10;rhW0zEMuZahbtDpM3IAUvU/nreYofSON18dYbnt5mSSZtLqj+KHVA963WH9Ve6tg9bZZddVH8tC8&#10;V6+PL8tnbvzASp2fjXe3IBhH/gvDL35EhzIy7dyeTBC9giyLU1jBbDZNQcRAml7Hy07B/OYqA1kW&#10;8v+E8gcAAP//AwBQSwECLQAUAAYACAAAACEAtoM4kv4AAADhAQAAEwAAAAAAAAAAAAAAAAAAAAAA&#10;W0NvbnRlbnRfVHlwZXNdLnhtbFBLAQItABQABgAIAAAAIQA4/SH/1gAAAJQBAAALAAAAAAAAAAAA&#10;AAAAAC8BAABfcmVscy8ucmVsc1BLAQItABQABgAIAAAAIQCuTF67bAIAADsFAAAOAAAAAAAAAAAA&#10;AAAAAC4CAABkcnMvZTJvRG9jLnhtbFBLAQItABQABgAIAAAAIQA1Mtrd4gAAAAoBAAAPAAAAAAAA&#10;AAAAAAAAAMYEAABkcnMvZG93bnJldi54bWxQSwUGAAAAAAQABADzAAAA1QUAAAAA&#10;" filled="f" strokecolor="#c00000" strokeweight="2pt"/>
            </w:pict>
          </mc:Fallback>
        </mc:AlternateContent>
      </w:r>
      <w:r w:rsidRPr="00616968">
        <w:rPr>
          <w:rFonts w:ascii="Arial" w:hAnsi="Arial" w:cs="Arial"/>
          <w:sz w:val="28"/>
          <w:szCs w:val="28"/>
        </w:rPr>
        <w:t xml:space="preserve">Go to the Childcare Service website: </w:t>
      </w:r>
      <w:hyperlink r:id="rId8" w:history="1">
        <w:r w:rsidRPr="00616968">
          <w:rPr>
            <w:rStyle w:val="Hyperlink"/>
            <w:sz w:val="28"/>
            <w:szCs w:val="28"/>
          </w:rPr>
          <w:t>https://childcare-support.tax.service.gov.uk/</w:t>
        </w:r>
      </w:hyperlink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lang w:eastAsia="en-GB"/>
        </w:rPr>
        <w:drawing>
          <wp:inline distT="0" distB="0" distL="0" distR="0" wp14:anchorId="3AFB9056" wp14:editId="5FDCFD58">
            <wp:extent cx="5419725" cy="4819650"/>
            <wp:effectExtent l="0" t="0" r="9525" b="0"/>
            <wp:docPr id="1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 rotWithShape="1">
                    <a:blip r:embed="rId9"/>
                    <a:srcRect l="24022" t="9010" r="26521" b="5093"/>
                    <a:stretch/>
                  </pic:blipFill>
                  <pic:spPr>
                    <a:xfrm>
                      <a:off x="0" y="0"/>
                      <a:ext cx="5422937" cy="482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412B30F0" w14:textId="77777777" w:rsidR="00342020" w:rsidRDefault="00342020" w:rsidP="0061696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Click on the green button to sign </w:t>
      </w:r>
      <w:proofErr w:type="gramStart"/>
      <w:r>
        <w:rPr>
          <w:rFonts w:ascii="Arial" w:hAnsi="Arial" w:cs="Arial"/>
          <w:sz w:val="28"/>
          <w:szCs w:val="28"/>
        </w:rPr>
        <w:t>in to</w:t>
      </w:r>
      <w:proofErr w:type="gramEnd"/>
      <w:r>
        <w:rPr>
          <w:rFonts w:ascii="Arial" w:hAnsi="Arial" w:cs="Arial"/>
          <w:sz w:val="28"/>
          <w:szCs w:val="28"/>
        </w:rPr>
        <w:t xml:space="preserve"> your account.</w:t>
      </w:r>
    </w:p>
    <w:p w14:paraId="31014154" w14:textId="77777777" w:rsidR="00342020" w:rsidRDefault="00342020" w:rsidP="00342020">
      <w:pPr>
        <w:pStyle w:val="ListParagraph"/>
        <w:ind w:left="426"/>
        <w:rPr>
          <w:rFonts w:ascii="Arial" w:hAnsi="Arial" w:cs="Arial"/>
          <w:sz w:val="28"/>
          <w:szCs w:val="28"/>
        </w:rPr>
      </w:pPr>
    </w:p>
    <w:p w14:paraId="1833FAB3" w14:textId="77777777" w:rsidR="00342020" w:rsidRDefault="00616968" w:rsidP="00342020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 w:rsidRPr="00616968">
        <w:rPr>
          <w:rFonts w:ascii="Arial" w:hAnsi="Arial" w:cs="Arial"/>
          <w:sz w:val="28"/>
          <w:szCs w:val="28"/>
        </w:rPr>
        <w:t>Sign in using your Government Gateway ID – you will have used this when you first applied.</w:t>
      </w:r>
    </w:p>
    <w:p w14:paraId="1D256DEF" w14:textId="77777777" w:rsidR="00342020" w:rsidRPr="00342020" w:rsidRDefault="00342020" w:rsidP="00342020">
      <w:pPr>
        <w:pStyle w:val="ListParagraph"/>
        <w:rPr>
          <w:rFonts w:ascii="Arial" w:hAnsi="Arial" w:cs="Arial"/>
          <w:sz w:val="28"/>
          <w:szCs w:val="28"/>
        </w:rPr>
      </w:pPr>
    </w:p>
    <w:p w14:paraId="3FF7398C" w14:textId="77777777" w:rsidR="00342020" w:rsidRDefault="00342020" w:rsidP="00342020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now go to </w:t>
      </w:r>
      <w:proofErr w:type="gramStart"/>
      <w:r>
        <w:rPr>
          <w:rFonts w:ascii="Arial" w:hAnsi="Arial" w:cs="Arial"/>
          <w:sz w:val="28"/>
          <w:szCs w:val="28"/>
        </w:rPr>
        <w:t>your  Childcare</w:t>
      </w:r>
      <w:proofErr w:type="gramEnd"/>
      <w:r>
        <w:rPr>
          <w:rFonts w:ascii="Arial" w:hAnsi="Arial" w:cs="Arial"/>
          <w:sz w:val="28"/>
          <w:szCs w:val="28"/>
        </w:rPr>
        <w:t xml:space="preserve"> Service account screen.</w:t>
      </w:r>
    </w:p>
    <w:p w14:paraId="0A6793E4" w14:textId="77777777" w:rsidR="00342020" w:rsidRPr="00342020" w:rsidRDefault="00342020" w:rsidP="00342020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00B76" wp14:editId="02F47654">
                <wp:simplePos x="0" y="0"/>
                <wp:positionH relativeFrom="column">
                  <wp:posOffset>1847850</wp:posOffset>
                </wp:positionH>
                <wp:positionV relativeFrom="paragraph">
                  <wp:posOffset>2287270</wp:posOffset>
                </wp:positionV>
                <wp:extent cx="1638935" cy="724535"/>
                <wp:effectExtent l="0" t="0" r="18415" b="184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7245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AD934" id="Oval 3" o:spid="_x0000_s1026" style="position:absolute;margin-left:145.5pt;margin-top:180.1pt;width:129.05pt;height:5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XbUgIAAKUEAAAOAAAAZHJzL2Uyb0RvYy54bWysVE1v2zAMvQ/YfxB0X52k6VdQpwhaZBhQ&#10;tAHaoWdGlmIB+hqlxOl+/SjZabp1p2E5KKRIPYpPj76+2VvDdhKj9q7m45MRZ9IJ32i3qfn35+WX&#10;S85iAteA8U7W/FVGfjP//Om6CzM58a03jURGIC7OulDzNqUwq6ooWmkhnvggHQWVRwuJXNxUDUJH&#10;6NZUk9HovOo8NgG9kDHS7l0f5POCr5QU6VGpKBMzNae7pbJiWdd5rebXMNsghFaL4RrwD7ewoB0V&#10;fYO6gwRsi/oDlNUCffQqnQhvK6+UFrL0QN2MR39089RCkKUXIieGN5ri/4MVD7unsEKioQtxFsnM&#10;XewV2vxP92P7QtbrG1lyn5igzfH56eXV6RlngmIXk+kZ2QRTHU8HjOmr9JZlo+bSGB1i7gdmsLuP&#10;qc8+ZOVt55famPImxrGOikwuRvRsAkgaykAi04am5tFtOAOzIc2JhAUyeqObfDwDRdysbw2yHdC7&#10;L5cj+g2X+y0t176D2PZ5JdQrwupEsjTa1vwyHz6cNi6jyyKsoYMjb9la++Z1hQx9r7QYxFJTkXuI&#10;aQVI0qJuaFzSIy3KeGrRDxZnrceff9vP+fTiFOWsI6lS+z+2gJIz882RFq7G02nWdnGmZxcTcvB9&#10;ZP0+4rb21hMrYxrMIIqZ85M5mAq9faGpWuSqFAInqHZP9ODcpn6EaC6FXCxKGuk5QLp3T0Fk8MxT&#10;pvd5/wIYBgkkEs+DP8j6gwz63F4Ii23ySheNHHkleWWHZqEIbZjbPGzv/ZJ1/LrMfwEAAP//AwBQ&#10;SwMEFAAGAAgAAAAhANqNfDHfAAAACwEAAA8AAABkcnMvZG93bnJldi54bWxMj8FOwzAQRO9I/IO1&#10;SFxQ6yQNaROyqSqkHji2IHF1Y5NE2Oso3rbp32NOcBzNaOZNvZ2dFRczhcETQrpMQBhqvR6oQ/h4&#10;3y82IAIr0sp6Mgg3E2Db3N/VqtL+SgdzOXInYgmFSiH0zGMlZWh741RY+tFQ9L785BRHOXVST+oa&#10;y52VWZIU0qmB4kKvRvPam/b7eHYIu5tkewjl/kkXVBT8Gd6U3SA+Psy7FxBsZv4Lwy9+RIcmMp38&#10;mXQQFiEr0/iFEVZFkoGIiee8TEGcEPJ1vgLZ1PL/h+YHAAD//wMAUEsBAi0AFAAGAAgAAAAhALaD&#10;OJL+AAAA4QEAABMAAAAAAAAAAAAAAAAAAAAAAFtDb250ZW50X1R5cGVzXS54bWxQSwECLQAUAAYA&#10;CAAAACEAOP0h/9YAAACUAQAACwAAAAAAAAAAAAAAAAAvAQAAX3JlbHMvLnJlbHNQSwECLQAUAAYA&#10;CAAAACEAh7uV21ICAAClBAAADgAAAAAAAAAAAAAAAAAuAgAAZHJzL2Uyb0RvYy54bWxQSwECLQAU&#10;AAYACAAAACEA2o18Md8AAAALAQAADwAAAAAAAAAAAAAAAACsBAAAZHJzL2Rvd25yZXYueG1sUEsF&#10;BgAAAAAEAAQA8wAAALg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76C1A6D" wp14:editId="093EC45C">
            <wp:extent cx="5727700" cy="3597275"/>
            <wp:effectExtent l="0" t="0" r="6350" b="31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581C" w14:textId="77777777" w:rsidR="003F0084" w:rsidRDefault="00616968" w:rsidP="0061696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 w:rsidRPr="00616968">
        <w:rPr>
          <w:rFonts w:ascii="Arial" w:hAnsi="Arial" w:cs="Arial"/>
          <w:sz w:val="28"/>
          <w:szCs w:val="28"/>
        </w:rPr>
        <w:t>Once you have opened the Childcare Service account screen, click on “30 Hours free childcare” to see your eligibility code.</w:t>
      </w:r>
      <w:r w:rsidR="003F0084">
        <w:rPr>
          <w:rFonts w:ascii="Arial" w:hAnsi="Arial" w:cs="Arial"/>
          <w:sz w:val="28"/>
          <w:szCs w:val="28"/>
        </w:rPr>
        <w:t xml:space="preserve">  Your childcare provider will need this code to be able to confirm your child’s place.</w:t>
      </w:r>
      <w:r w:rsidR="003F0084">
        <w:rPr>
          <w:rFonts w:ascii="Arial" w:hAnsi="Arial" w:cs="Arial"/>
          <w:sz w:val="28"/>
          <w:szCs w:val="28"/>
        </w:rPr>
        <w:br/>
      </w:r>
    </w:p>
    <w:p w14:paraId="42BE128C" w14:textId="77777777" w:rsidR="00D553DB" w:rsidRDefault="003F0084" w:rsidP="0061696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Click on Reconfirmation to reconfirm eligibility.  You must do </w:t>
      </w:r>
      <w:proofErr w:type="gramStart"/>
      <w:r>
        <w:rPr>
          <w:rFonts w:ascii="Arial" w:hAnsi="Arial" w:cs="Arial"/>
          <w:sz w:val="28"/>
          <w:szCs w:val="28"/>
        </w:rPr>
        <w:t>this every three months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10DA5FAD" w14:textId="77777777" w:rsid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>You can reconfirm eligibility up to 4 weeks before your reconfirmation date.</w:t>
      </w:r>
    </w:p>
    <w:p w14:paraId="24952905" w14:textId="77777777" w:rsidR="00D553DB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 xml:space="preserve">You should get a text and/or email </w:t>
      </w:r>
      <w:r>
        <w:rPr>
          <w:rFonts w:ascii="Arial" w:hAnsi="Arial" w:cs="Arial"/>
          <w:sz w:val="24"/>
          <w:szCs w:val="24"/>
        </w:rPr>
        <w:t xml:space="preserve">from HMRC </w:t>
      </w:r>
      <w:r w:rsidRPr="00D553DB">
        <w:rPr>
          <w:rFonts w:ascii="Arial" w:hAnsi="Arial" w:cs="Arial"/>
          <w:sz w:val="24"/>
          <w:szCs w:val="24"/>
        </w:rPr>
        <w:t>4 weeks before your reconfirmation deadline.</w:t>
      </w:r>
    </w:p>
    <w:p w14:paraId="09536F00" w14:textId="77777777" w:rsidR="00D553DB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>You will keep the same code, but it will be extended for another 3 months from the current end date.</w:t>
      </w:r>
    </w:p>
    <w:p w14:paraId="60D5FFBB" w14:textId="77777777" w:rsidR="00D553DB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 xml:space="preserve">If your circumstances have changed, you will need to update your details.  </w:t>
      </w:r>
    </w:p>
    <w:p w14:paraId="0CC093A3" w14:textId="77777777" w:rsidR="00D553DB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 xml:space="preserve">If your </w:t>
      </w:r>
      <w:r>
        <w:rPr>
          <w:rFonts w:ascii="Arial" w:hAnsi="Arial" w:cs="Arial"/>
          <w:sz w:val="24"/>
          <w:szCs w:val="24"/>
        </w:rPr>
        <w:t>first</w:t>
      </w:r>
      <w:r w:rsidRPr="00D553DB">
        <w:rPr>
          <w:rFonts w:ascii="Arial" w:hAnsi="Arial" w:cs="Arial"/>
          <w:sz w:val="24"/>
          <w:szCs w:val="24"/>
        </w:rPr>
        <w:t xml:space="preserve"> application was by phone, you will need to reconfirm by phone too.</w:t>
      </w:r>
    </w:p>
    <w:p w14:paraId="52EC7A81" w14:textId="77777777" w:rsidR="00D553DB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>If you were issued with a temporary code (one that starts with 11), you will have to complete a new application to get a permanent code (one that starts with 500).</w:t>
      </w:r>
    </w:p>
    <w:p w14:paraId="552479BC" w14:textId="77777777" w:rsidR="00616968" w:rsidRPr="00D553DB" w:rsidRDefault="00D553DB" w:rsidP="00D553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53DB">
        <w:rPr>
          <w:rFonts w:ascii="Arial" w:hAnsi="Arial" w:cs="Arial"/>
          <w:sz w:val="24"/>
          <w:szCs w:val="24"/>
        </w:rPr>
        <w:t>If you miss the reconfirmation deadline you will need to reconfirm before the grace period runs out, or you may lose the funded hours.</w:t>
      </w:r>
      <w:r w:rsidR="00342020" w:rsidRPr="00D553DB">
        <w:rPr>
          <w:rFonts w:ascii="Arial" w:hAnsi="Arial" w:cs="Arial"/>
          <w:sz w:val="28"/>
          <w:szCs w:val="28"/>
        </w:rPr>
        <w:br/>
      </w:r>
    </w:p>
    <w:p w14:paraId="735EF716" w14:textId="77777777" w:rsidR="00342020" w:rsidRPr="00616968" w:rsidRDefault="00342020" w:rsidP="0061696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also view the code </w:t>
      </w:r>
      <w:r w:rsidR="003F0084">
        <w:rPr>
          <w:rFonts w:ascii="Arial" w:hAnsi="Arial" w:cs="Arial"/>
          <w:sz w:val="28"/>
          <w:szCs w:val="28"/>
        </w:rPr>
        <w:t xml:space="preserve">or reconfirm </w:t>
      </w:r>
      <w:r>
        <w:rPr>
          <w:rFonts w:ascii="Arial" w:hAnsi="Arial" w:cs="Arial"/>
          <w:sz w:val="28"/>
          <w:szCs w:val="28"/>
        </w:rPr>
        <w:t>by clicking on</w:t>
      </w:r>
      <w:r w:rsidR="003F0084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Secure Messages</w:t>
      </w:r>
      <w:r w:rsidR="003F0084">
        <w:rPr>
          <w:rFonts w:ascii="Arial" w:hAnsi="Arial" w:cs="Arial"/>
          <w:sz w:val="28"/>
          <w:szCs w:val="28"/>
        </w:rPr>
        <w:t xml:space="preserve"> section</w:t>
      </w:r>
      <w:r>
        <w:rPr>
          <w:rFonts w:ascii="Arial" w:hAnsi="Arial" w:cs="Arial"/>
          <w:sz w:val="28"/>
          <w:szCs w:val="28"/>
        </w:rPr>
        <w:t>.</w:t>
      </w:r>
    </w:p>
    <w:sectPr w:rsidR="00342020" w:rsidRPr="006169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C5E" w14:textId="77777777" w:rsidR="00CF682D" w:rsidRDefault="00CF682D" w:rsidP="00342020">
      <w:pPr>
        <w:spacing w:after="0" w:line="240" w:lineRule="auto"/>
      </w:pPr>
      <w:r>
        <w:separator/>
      </w:r>
    </w:p>
  </w:endnote>
  <w:endnote w:type="continuationSeparator" w:id="0">
    <w:p w14:paraId="6B77A310" w14:textId="77777777" w:rsidR="00CF682D" w:rsidRDefault="00CF682D" w:rsidP="0034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6B15" w14:textId="77777777" w:rsidR="00CF682D" w:rsidRDefault="00CF682D" w:rsidP="00342020">
      <w:pPr>
        <w:spacing w:after="0" w:line="240" w:lineRule="auto"/>
      </w:pPr>
      <w:r>
        <w:separator/>
      </w:r>
    </w:p>
  </w:footnote>
  <w:footnote w:type="continuationSeparator" w:id="0">
    <w:p w14:paraId="4CC0D0AA" w14:textId="77777777" w:rsidR="00CF682D" w:rsidRDefault="00CF682D" w:rsidP="0034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209A" w14:textId="77777777" w:rsidR="00342020" w:rsidRDefault="00342020" w:rsidP="00342020">
    <w:pPr>
      <w:rPr>
        <w:rFonts w:ascii="Arial" w:hAnsi="Arial" w:cs="Arial"/>
        <w:b/>
        <w:sz w:val="36"/>
        <w:szCs w:val="36"/>
      </w:rPr>
    </w:pPr>
    <w:r w:rsidRPr="00616968">
      <w:rPr>
        <w:rFonts w:ascii="Arial" w:hAnsi="Arial" w:cs="Arial"/>
        <w:b/>
        <w:sz w:val="36"/>
        <w:szCs w:val="36"/>
      </w:rPr>
      <w:t>How to access your childcare service account</w:t>
    </w:r>
  </w:p>
  <w:p w14:paraId="33CC97D3" w14:textId="77777777" w:rsidR="00342020" w:rsidRDefault="0034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75267"/>
    <w:multiLevelType w:val="hybridMultilevel"/>
    <w:tmpl w:val="0C44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06"/>
    <w:rsid w:val="00117CCE"/>
    <w:rsid w:val="002C49E7"/>
    <w:rsid w:val="00342020"/>
    <w:rsid w:val="003B69C5"/>
    <w:rsid w:val="003F0084"/>
    <w:rsid w:val="005C0B18"/>
    <w:rsid w:val="00616968"/>
    <w:rsid w:val="006A03AD"/>
    <w:rsid w:val="00732915"/>
    <w:rsid w:val="00AC2F06"/>
    <w:rsid w:val="00B62B19"/>
    <w:rsid w:val="00C757DD"/>
    <w:rsid w:val="00CF682D"/>
    <w:rsid w:val="00D061AD"/>
    <w:rsid w:val="00D3454C"/>
    <w:rsid w:val="00D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AA65"/>
  <w15:docId w15:val="{82D937F9-B760-4F3E-BB6C-74D9B248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6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20"/>
  </w:style>
  <w:style w:type="paragraph" w:styleId="Footer">
    <w:name w:val="footer"/>
    <w:basedOn w:val="Normal"/>
    <w:link w:val="FooterChar"/>
    <w:uiPriority w:val="99"/>
    <w:unhideWhenUsed/>
    <w:rsid w:val="0034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care-support.tax.service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effielddirectory.org.uk/kb5/sheffield/directory/advice.page?id=_dg8Dvgg5Z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Jonathan (NCC)</dc:creator>
  <cp:lastModifiedBy>Beatrice Meloni</cp:lastModifiedBy>
  <cp:revision>4</cp:revision>
  <dcterms:created xsi:type="dcterms:W3CDTF">2022-09-20T14:28:00Z</dcterms:created>
  <dcterms:modified xsi:type="dcterms:W3CDTF">2022-09-20T14:29:00Z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2022-09-20T14:25:58Z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8d50b1e8-061b-4a11-ab22-44eda2cbff8f</vt:lpwstr>
  </property>
  <property fmtid="{D5CDD505-2E9C-101B-9397-08002B2CF9AE}" pid="8" name="MSIP_Label_c8588358-c3f1-4695-a290-e2f70d15689d_ContentBits">
    <vt:lpwstr>0</vt:lpwstr>
  </property>
</Properties>
</file>